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contextualSpacing w:val="0"/>
        <w:ind w:left="0" w:right="0" w:firstLine="0"/>
        <w:jc w:val="both"/>
        <w:spacing w:before="322" w:after="322"/>
        <w:rPr>
          <w:b/>
          <w:bCs/>
          <w:caps/>
          <w:smallCaps w:val="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caps/>
          <w:smallCaps w:val="0"/>
          <w:color w:val="000000"/>
          <w:sz w:val="32"/>
          <w:szCs w:val="32"/>
        </w:rPr>
        <w:t xml:space="preserve">Uvodno razmatranje o </w:t>
      </w:r>
      <w:r>
        <w:rPr>
          <w:rFonts w:ascii="Times New Roman" w:hAnsi="Times New Roman" w:eastAsia="Times New Roman" w:cs="Times New Roman"/>
          <w:b/>
          <w:bCs/>
          <w:caps/>
          <w:smallCaps w:val="0"/>
          <w:color w:val="000000"/>
          <w:sz w:val="32"/>
          <w:szCs w:val="32"/>
        </w:rPr>
        <w:t xml:space="preserve">analizi bračnog statusa stanovništva po odabranim opštinama</w:t>
      </w:r>
      <w:r>
        <w:rPr>
          <w:rFonts w:ascii="Times New Roman" w:hAnsi="Times New Roman" w:eastAsia="Times New Roman" w:cs="Times New Roman"/>
          <w:b/>
          <w:bCs/>
          <w:caps/>
          <w:smallCaps w:val="0"/>
          <w:color w:val="000000"/>
          <w:sz w:val="32"/>
          <w:szCs w:val="32"/>
        </w:rPr>
      </w:r>
      <w:r>
        <w:rPr>
          <w:b/>
          <w:bCs/>
          <w:caps/>
          <w:smallCaps w:val="0"/>
          <w:sz w:val="32"/>
          <w:szCs w:val="32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Demografske promene na lokalnom nivou predstavljaju jedan od ključnih pokazatelja društvenog i ekonomskog razvoja, naročito u kontekstu starenja stanovništva, promena porodičnih obrazaca i transformacije bračnih odnosa. Bračni status stanovništva spada međ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osnovne strukturne demografske pokazatelje, jer neposredno odražava obrasce porodičnog formiranja, stabilnost bračnih zajednica i promene u životnom ciklusu stanovništva.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Republici Srbiji, razlike u bračnom ponašanju nisu ujednačene, već se značajno razlikuju između pojedinih regiona i opština. Posebno su izražene razlike između sredina sa dugotrajnim procesima depopulacije i starenja stanovništva i onih u kojima su očuva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ni tradicionalni porodični modeli i povoljnija starosna struktura. Analiza bračnog statusa na nivou opština omogućava preciznije sagledavanje ovih razlika i identifikovanje lokalnih demografskih obrazaca koji se ne mogu uočiti na višim teritorijalnim nivoi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rad se fokusira na analizu stanovništva starog 15 i više godina prema zakonskom bračnom statusu i polu u odabranim opštinama: Raška, Tutin, Nova Varoš, Priboj, Prijepolje i Sjenica, sa ciljem da se utvrde razlike u bračnoj strukturi i sagledaju njihov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demografske implikacije. Analiza je zasnovana na podacima objavljenim u publikaciji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Opštine i regioni u Republici Srbiji 2025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dostupnoj na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0" w:tooltip="https://publikacije.stat.gov.rs/G2025/Pdf/G202513052.pdf" w:history="1">
        <w:r>
          <w:rPr>
            <w:rStyle w:val="174"/>
            <w:rFonts w:ascii="Times New Roman" w:hAnsi="Times New Roman" w:eastAsia="Times New Roman" w:cs="Times New Roman"/>
            <w:sz w:val="24"/>
          </w:rPr>
          <w:t xml:space="preserve">https://publikacije.stat.gov.rs/G2025/Pdf/G202513052.pdf</w:t>
        </w:r>
        <w:r>
          <w:rPr>
            <w:rStyle w:val="174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.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Predmet istraživanja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obuhvata bračni status stanovništva starog 15 i više godina, prema sledećim kategorijama:</w:t>
      </w:r>
      <w:r/>
    </w:p>
    <w:p>
      <w:pPr>
        <w:pStyle w:val="605"/>
        <w:numPr>
          <w:ilvl w:val="0"/>
          <w:numId w:val="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neoženjeni i neudate,</w:t>
      </w:r>
      <w:r/>
    </w:p>
    <w:p>
      <w:pPr>
        <w:pStyle w:val="605"/>
        <w:numPr>
          <w:ilvl w:val="0"/>
          <w:numId w:val="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oženjeni i udate,</w:t>
      </w:r>
      <w:r/>
    </w:p>
    <w:p>
      <w:pPr>
        <w:pStyle w:val="605"/>
        <w:numPr>
          <w:ilvl w:val="0"/>
          <w:numId w:val="3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razvedeni i razvedene,</w:t>
      </w:r>
      <w:r/>
    </w:p>
    <w:p>
      <w:pPr>
        <w:pStyle w:val="605"/>
        <w:numPr>
          <w:ilvl w:val="0"/>
          <w:numId w:val="4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udovci i udovice.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Osnovni cilj istraživanja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jeste da se:</w:t>
      </w:r>
      <w:r/>
    </w:p>
    <w:p>
      <w:pPr>
        <w:pStyle w:val="605"/>
        <w:numPr>
          <w:ilvl w:val="0"/>
          <w:numId w:val="5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identifikuju i uporede obrasci bračnog ponašanja po opštinama,</w:t>
      </w:r>
      <w:r/>
    </w:p>
    <w:p>
      <w:pPr>
        <w:pStyle w:val="605"/>
        <w:numPr>
          <w:ilvl w:val="0"/>
          <w:numId w:val="6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utvrde razlike u udelima oženjenih/udatih i ostalih bračnih kategorija,</w:t>
      </w:r>
      <w:r/>
    </w:p>
    <w:p>
      <w:pPr>
        <w:pStyle w:val="605"/>
        <w:numPr>
          <w:ilvl w:val="0"/>
          <w:numId w:val="7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sagledaju demografski procesi koji stoje u osnovi uočenih razlika, posebno u kontekstu starenja stanovništva i odlaganja stupanja u brak.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Poseban analitički akcenat stavljen je na udeo neoženjenih i neudatih, kao i na udeo oženjenih i udatih u ukupnoj populaciji starijoj od 15 godina, jer ovi pokazatelji predstavljaju ključne indikatore buduće bračnosti i demografske dinamike.</w:t>
      </w:r>
      <w:r/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Istraživanje je zasnovano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sekundarnoj analizi zvaničnih statističkih podataka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preuzetih iz publikacije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Opštine i regioni u Republici Srbiji 2025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dostupnoj na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1" w:tooltip="https://publikacije.stat.gov.rs/G2025/Pdf/G202513052.pdf" w:history="1">
        <w:r>
          <w:rPr>
            <w:rStyle w:val="174"/>
            <w:rFonts w:ascii="Times New Roman" w:hAnsi="Times New Roman" w:eastAsia="Times New Roman" w:cs="Times New Roman"/>
            <w:sz w:val="24"/>
          </w:rPr>
          <w:t xml:space="preserve">https://publikacije.stat.gov.rs/G2025/Pdf/G202513052.pdf</w:t>
        </w:r>
        <w:r>
          <w:rPr>
            <w:rStyle w:val="174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r/>
      <w:r/>
    </w:p>
    <w:p>
      <w:pPr>
        <w:pStyle w:val="13"/>
        <w:ind w:left="0" w:right="0" w:firstLine="0"/>
        <w:spacing w:before="322" w:after="322"/>
        <w:rPr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2. ANALIZA BRAČNOG STATUSA STANOVNIŠTVA PO OPŠTINAMA</w:t>
      </w: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r>
      <w:r>
        <w:rPr>
          <w:sz w:val="32"/>
          <w:szCs w:val="32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bračnog statusa stanovništva starog 15 i više godina po opštinama omogućava detaljnije sagledavanje lokalnih demografskih obrazaca, koji su često prikriveni u agregiranim regionalnim i nacionalnim statistikama. Bračna struktura stanovništva direktn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 odražava starosni sastav populacije, stabilnost porodičnih odnosa i potencijal buduće bračnosti, te predstavlja jedan od ključnih pokazatelja demografske tranzicije na lokalnom nivou.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ovom poglavlju analizirana je struktura bračnog statusa prema polu u opštinama Raška, Tutin, Nova Varoš, Priboj, Prijepolje i Sjenica, na osnovu podataka Popisa stanovništva 2022. godine.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Tabela 1. Stanovništvo staro 15 i više godina prema bračnom statusu i polu – Odabrane opštine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92"/>
        <w:gridCol w:w="1559"/>
        <w:gridCol w:w="1378"/>
        <w:gridCol w:w="1702"/>
        <w:gridCol w:w="216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Pol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Ukupno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Neoženjen / neudata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Oženjen / udata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Udovac / udovica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Razveden / razvedena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Raška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9.228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2.993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5.474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245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9.300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5.435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1.759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296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Tutin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13.031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5.163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7.127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420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180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12.253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3.512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7.201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1.234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221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Nova Varoš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6.100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2.128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3.399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412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158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5.994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1.226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3.366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1.214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182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Priboj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10.369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3.572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5.962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547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275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10.571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2.218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5.962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2.039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339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Prijepolje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13.525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4.534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7.997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643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317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13.624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2.778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8.009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2.452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363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Sjenica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Muškarci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9.754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3.666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5.438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447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178</w:t>
            </w:r>
            <w:r/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Žene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9.549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2.427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5.517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1.372</w:t>
            </w:r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216</w:t>
            </w:r>
            <w:r/>
            <w:r/>
          </w:p>
        </w:tc>
      </w:tr>
    </w:tbl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bračnog statusa po opštinama ukazuje na jasno diferencirane demografske modele. Opštine sa izraženim procesima starenja karakterišu visoki udeli udovištva i mali potencijal buduće bračnosti, dok opštine sa mlađom populacijom i odloženim stupanjem 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brak pokazuju veću demografsku vitalnost. Ovi nalazi predstavljaju osnovu za dalju analizu porodičnih obrazaca i veličine domaćinstava, koja sledi u narednom poglavlju.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rPr>
          <w:highlight w:val="none"/>
        </w:rPr>
      </w:pPr>
      <w:r/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t xml:space="preserve">3. UDEO OŽENJENIH / UDATIH U POPULACIJI STARIJIH OD 15 GODINA</w:t>
      </w:r>
      <w:r/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oženjenih i udatih u ukupnoj populaciji starijoj od 15 godina predstavlja jedan od ključnih sintetičkih pokazatelja bračne strukture stanovništva. Ovaj pokazatelj omogućava sagledavanje obima aktivnih bračnih zajednica u odnosu na ukupnu populaciju re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levantnu za reproduktivne, socijalne i demografske procese, objedinujući efekte starosne strukture, vremena stupanja u brak i trajanja bračnih zajednica.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tabeli 3.1 prikazan je odnos između broja stanovnika starijih od 15 godina i broja oženjenih i udatih lica u odabranim opštinama: Raška, Tutin, Nova Varoš, Priboj, Prijepolje i Sjenica.</w:t>
      </w:r>
      <w:r/>
    </w:p>
    <w:p>
      <w:pPr>
        <w:pStyle w:val="15"/>
        <w:ind w:left="0" w:right="0" w:firstLine="0"/>
        <w:jc w:val="both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Tabela 2. Udeo oženjenih/udatih u populaciji starijoj od 15 godina po opštinama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53"/>
        <w:gridCol w:w="1680"/>
        <w:gridCol w:w="2445"/>
        <w:gridCol w:w="1065"/>
        <w:gridCol w:w="127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Stanovnici 15+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Oženjeni / udate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oženjenih / udatih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Ostali 15+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Udeo ostalih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Raška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18.528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10.909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7.619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41%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Tutin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25.284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14.328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10.956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43%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Nova Varoš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12.094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6.765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56%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5.329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44%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Priboj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20.940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11.924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9.016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43%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Prijepolje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27.149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16.006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59%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11.143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shd w:val="clear" w:color="d9d9d9" w:themeColor="background1" w:themeShade="D9" w:fill="d9d9d9" w:themeFill="background1" w:themeFillShade="D9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41%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Sjenica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5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19.303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10.955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57%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6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8.348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43%</w:t>
            </w:r>
            <w:r>
              <w:rPr>
                <w:b/>
                <w:bCs/>
              </w:rPr>
            </w:r>
          </w:p>
        </w:tc>
      </w:tr>
    </w:tbl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pokazuju da se u svim posmatranim opštinama udeo oženjenih i udatih u populaciji starijoj od 15 godina kreće u relativno uskom rasponu, između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56% i 59%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određeni stepen strukturne homogenosti bračne strukture na nivou ovog skupa opština. Ipak, i ovako naizgled stabilne vrednosti nose značajnu demografsku informaciju.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 svega, činjenica da u nijednoj opštini udeo oženjenih i udatih ne prelazi 60% ukazuje na to da značajan deo populacije starije od 15 godina ne živi u aktivnoj bračnoj zajednici. Ovaj nalaz ne može se tumačiti kao slabljenje institucije braka, već kao 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ezultat kombinovanog dejstva više demografskih procesa.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opštinama poput Raške i Prijepolja, gde je udeo oženjenih i udatih najviši (59%), istovremeno je prisutan i visok udeo udovica, što ukazuje na stariju starosnu strukturu i dugotrajne bračne zajednice koje se prekidaju usled smrtnosti partnera. U ovim sre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dinama, relativno visok udeo oženjenih i udatih koegzistira sa izraženim procesima demografskog starenja.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Nasuprot tome, u Tutinu i Sjenici, gde se udeo oženjenih i udatih kreće oko 57%, niža vrednost ovog pokazatelja u većoj meri proizlazi iz visokog udela neoženjenih i neudatih u mlađim starosnim kohortama. Ovakav obrazac ukazuje na odloženo stupanje u brak,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ali i na očuvanu bračnu instituciju, što je potvrđeno niskim udelima razvedenih i relativno mladom starosnom strukturom stanovništva.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Nova Varoš se izdvaja kao opština sa najnižim udelom oženjenih i udatih (56%), što je u skladu sa nalazima iz prethodnog poglavlja o izraženom demografskom starenju i smanjenom potencijalu buduće bračnosti. U ovom slučaju, nizak udeo oženjenih i udatih rez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ultat je pre svega visokog udela udovištva i dugoročnih depopulacionih procesa.</w:t>
      </w:r>
      <w:r/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oženjenih i udatih u populaciji starijoj od 15 godina u posmatranim opštinama predstavlja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strukturni demografski pokazatelj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koji jasno osvetljava razlike u starosnoj strukturi i bračnom ponašanju stanovništva. Iako se vrednosti ovog pokazatelja kreću u relativno uskom rasponu, njihova interpretacija ukazuje na postojanje različitih demografskih modela – od opština sa izraženim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starenjem stanovništva do sredina sa mlađom populacijom i odloženim stupanjem u brak.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nalazi potvrđuju da se bračna struktura stanovništva ne može tumačiti izolovano, već isključivo u sprezi sa starosnim sastavom i ukupnim demografskim kretanjima.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hd w:val="ni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</w:rPr>
        <w:t xml:space="preserve">IV ZAKLJUČAK</w:t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Integrisana analiza bračnog statusa stanovništva starog 15 i više godina i udela oženjenih i udatih u ukupnoj populaciji omogućila je sveobuhvatno sagledavanje demografskih obrazaca u opštinama Raška, Tutin, Nova Varoš, Priboj, Prijepolje i Sjenica, na osn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ovu podataka Popisa stanovništva 2022. godine. Dobijeni rezultati jasno ukazuju na postojanje diferenciranih demografskih modela koji odražavaju različite faze demografske tranzicije unutar posmatranog prostora.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Opštine Nova Varoš, Priboj i Raška karakterišu izraženi procesi demografskog starenja i smanjeni potencijal buduće bračnosti. Bračna struktura u ovim sredinama obeležena je visokim udelom oženjenih i udatih, ali i značajnim prisustvom udovica, što ukazuje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na dugotrajne bračne zajednice i stariju starosnu strukturu stanovništva. Udeo oženjenih i udatih u populaciji starijoj od 15 godina, iako relativno visok (oko 56–59%), u ovim opštinama koegzistira sa izraženim procesima izlaska iz braka usled smrtnosti pa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rtnera, što dugoročno doprinosi demografskoj regresiji.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zauzima srednju poziciju u okviru analiziranog skupa opština. Bračna struktura ukazuje na stabilne porodične odnose, ali i na postepeno starenje stanovništva. Udeo oženjenih i udatih od oko 59% sugeriše relativno očuvanu bračnost, ali istovremen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 i ograničen potencijal za demografsko obnavljanje bez dodatnih migracionih ili pronatalitetnih impulsa. Ova opština predstavlja prelazni demografski model između izrazito ostaralih i demografski vitalnijih sredina.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Nasuprot tome, Tutin i Sjenica pokazuju znatno povoljnije demografske karakteristike. Iako se udeo oženjenih i udatih u populaciji starijoj od 15 godina kreće oko 57%, niže vrednosti ovog pokazatelja u ovim opštinama prvenstveno su rezultat visokog udela 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eoženjenih i neudatih u mlađim starosnim kohortama, a ne procesa bračne dezintegracije. Nizak udeo razvedenih i relativno mali obim udovištva ukazuju na očuvanu bračnu stabilnost i mlađu starosnu strukturu stanovništva, što ovim opštinama daje veći demogra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fski potencijal u odnosu na ostale analizirane sredine.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Integrisana analiza pokazuje da udeo oženjenih i udatih u populaciji starijoj od 15 godina ne može biti tumačen izolovano, već isključivo u kontekstu ukupne bračne strukture i starosnog sastava stanovništva. Slične vrednosti ovog pokazatelja u različitim 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pštinama mogu imati potpuno različito demografsko značenje: u jednim sredinama one odražavaju starenje i visoko udovištvo, dok u drugim ukazuju na odloženo stupanje u brak i očuvanu porodičnu koheziju.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Zaključno, rezultati istraživanja potvrđuju da bračni status stanovništva i udeo oženjenih i udatih predstavljaju ključne pokazatelje za razumevanje demografskih procesa na lokalnom nivou. Njihova integrisana analiza omogućava identifikaciju opština sa izr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aženim demografskim rizicima, ali i onih sa većom demografskom vitalnošću, čime se obezbeđuje pouzdana analitička osnova za oblikovanje diferenciranih demografskih i socijalnih politika prilagođenih specifičnostima svake lokalne zajednice.</w:t>
      </w:r>
      <w:r/>
    </w:p>
    <w:p>
      <w:r>
        <w:rPr>
          <w:highlight w:val="none"/>
        </w:rPr>
      </w:r>
      <w:r>
        <w:rPr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publikacije.stat.gov.rs/G2025/Pdf/G202513052.pdf" TargetMode="External"/><Relationship Id="rId11" Type="http://schemas.openxmlformats.org/officeDocument/2006/relationships/hyperlink" Target="https://publikacije.stat.gov.rs/G2025/Pdf/G202513052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2026-01-02T21:27:51Z</dcterms:modified>
</cp:coreProperties>
</file>